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547 vom 21. Dezember 1992</w:t>
      </w:r>
    </w:p>
    <w:p>
      <w:r>
        <w:t>Bundesgericht (BGE), 1992-12-21, IT</w:t>
      </w:r>
    </w:p>
    <w:p>
      <w:r>
        <w:rPr>
          <w:b/>
        </w:rPr>
        <w:t xml:space="preserve">Quelle: </w:t>
      </w:r>
      <w:r>
        <w:t>https://mcp.opencaselaw.ch/entscheid/bge_118 IB 547</w:t>
      </w:r>
    </w:p>
    <w:p>
      <w:r>
        <w:t>FR: BGE 118 IB 547 du 21 décembre 1992</w:t>
      </w:r>
    </w:p>
    <w:p>
      <w:r>
        <w:t>IT: BGE 118 IB 547 del 21 dicembre 1992</w:t>
      </w:r>
    </w:p>
    <w:p>
      <w:pPr>
        <w:pStyle w:val="Heading2"/>
      </w:pPr>
      <w:r>
        <w:t>Regeste</w:t>
      </w:r>
    </w:p>
    <w:p>
      <w:r>
        <w:t>Regeste Staatsvertrag zwischen der Schweizerischen Eidgenossenschaft und den Vereinigten Staaten vom Amerika über die Rechtshilfe in Strafsachen; beidseitige Strafbarkeit; Insiderdelikte, Art. 161 und 162 StGB. 1. Anwendbares Recht (E. 1b), anfechtbarer Entscheid und Beschwerdebefugnis (E. 1c und d); Begriff des Gerichtsverfahrens im Sinne von Art. 1 Ziff. 1 lit. a RVUS (E. 2). 2. Art. 29 RVUS: Formerfordernisse, welchen das Rechtshilfebegehren genügen muss, und Begriff des "begründeten Verdachts" einer strafbaren Handlung gemäss Art. 1 Ziff. 2 RVUS (E. 3a); Bedingungen für die Anwendung von Zwangsmassnahmen (E. 3b). 3. Auslegung von Art. 161 Ziff. 1 und 3 StGB. In der Verringerung des Nettoertrages einer Gesellschaft während eines Vierteljahres kann weder eine Emission neuer Beteiligungsrechte noch eine Unternehmensverbindung noch ein "ähnlicher Sachverhalt von vergleichbarer Tragweite" im Sinne von Art. 161 Ziff. 3 StGB erblickt werden, und somit handelt es sich dabei auch nicht um eine vertrauliche Tatsache im Sinne von Art. 161 Ziff. 1 StGB. Die gegenteiligen Meinungen, welche in den parlamentarischen Beratungen vertreten wurden, sind unerheblich, da sie sich in der Gesetzesbestimmung nicht niedergeschlagen haben (E. 4). 4. Das Erfordernis der Strafbarkeit nach schweizerischem Recht (Art. 4 Ziff. 2 RVUS) ist ohne weiteres erfüllt, da im vorliegenden Fall für den Gegenstand des Ersuchens bildenden Sachverhalt Art. 162 StGB anwendbar ist (E. 5). 5. Spezialitätsgrundsatz (Art. 5 RVUS) und Verhältnismässigkeitsgrundsatz bei der Aktenherausgabe (E. 6b); Beschränkungen, denen die Anwesenheit von ausländischen Beamten oder Anwälten bei Untersuchungshandlungen unterliegt (E. 6c).</w:t>
      </w:r>
    </w:p>
    <w:p>
      <w:pPr>
        <w:pStyle w:val="Heading2"/>
      </w:pPr>
      <w:r>
        <w:t>Erwägungen</w:t>
      </w:r>
    </w:p>
    <w:p>
      <w:r>
        <w:rPr>
          <w:b/>
        </w:rPr>
        <w:t>E. 1</w:t>
      </w:r>
    </w:p>
    <w:p>
      <w:r>
        <w:t>Anwendbares Recht (E. 1b), anfechtbarer Entscheid und Beschwerdebefugnis (E. 1c und d); Begriff des Gerichtsverfahrens im Sinne von Art. 1 Ziff. 1 lit. a RVUS (E. 2).</w:t>
      </w:r>
    </w:p>
    <w:p>
      <w:r>
        <w:rPr>
          <w:b/>
        </w:rPr>
        <w:t>E. 2</w:t>
      </w:r>
    </w:p>
    <w:p>
      <w:r>
        <w:t>Art. 29 RVUS : Formerfordernisse, welchen das Rechtshilfebegehren genügen muss, und Begriff des "begründeten Verdachts" einer strafbaren Handlung gemäss Art. 1 Ziff. 2 RVUS (E. 3a); Bedingungen für die Anwendung von Zwangsmassnahmen (E. 3b).</w:t>
      </w:r>
    </w:p>
    <w:p>
      <w:r>
        <w:rPr>
          <w:b/>
        </w:rPr>
        <w:t>E. 3</w:t>
      </w:r>
    </w:p>
    <w:p>
      <w:r>
        <w:t>Auslegung von Art. 161 Ziff. 1 und 3 StGB . In der Verringerung des Nettoertrages einer Gesellschaft während eines Vierteljahres kann weder eine Emission neuer Beteiligungsrechte noch eine Unternehmensverbindung noch ein "ähnlicher Sachverhalt von vergleichbarer Tragweite" im Sinne von Art. 161 Ziff. 3 StGB erblickt werden, und somit handelt es sich dabei auch nicht um eine vertrauliche Tatsache im Sinne von Art. 161 Ziff. 1 StGB . Die gegenteiligen Meinungen, welche in den parlamentarischen Beratungen vertreten wurden, sind unerheblich, da sie sich in der Gesetzesbestimmung nicht niedergeschlagen haben (E. 4).</w:t>
      </w:r>
    </w:p>
    <w:p>
      <w:r>
        <w:rPr>
          <w:b/>
        </w:rPr>
        <w:t>E. 4</w:t>
      </w:r>
    </w:p>
    <w:p>
      <w:r>
        <w:t>Das Erfordernis der Strafbarkeit nach schweizerischem Recht ( Art. 4 Ziff. 2 RVUS ) ist ohne weiteres erfüllt, da im vorliegenden Fall für den Gegenstand des Ersuchens bildenden Sachverhalt Art. 162 StGB anwendbar ist (E. 5).</w:t>
      </w:r>
    </w:p>
    <w:p>
      <w:r>
        <w:rPr>
          <w:b/>
        </w:rPr>
        <w:t>E. 5</w:t>
      </w:r>
    </w:p>
    <w:p>
      <w:r>
        <w:t>a) L' art. 162 CP prevede che chiunque rivela un segreto di fabbrica o commerciale, che aveva per legge o per contratto l'obbligo di custodire (cpv. 1), come pure chiunque trae profitto da questa rivelazione (cpv. 2) è punito, a querela di parte, con la detenzione o con la multa. Ai sensi di questa disposizione costituisce un segreto ogni conoscenza particolare che non è di pubblica notorietà né facilmente accessibile e che il suo detentore ha un interesse legittimo a tener segreta. Per segreti commerciali s'intendono segnatamente le informazioni che possono avere un'incidenza sull'esito commerciale, in particolare conoscenze relative all'organizzazione, al calcolo dei prezzi, alla cerchia dei clienti, alla produzione e all'andamento degli affari (cfr. DTF 109 Ib 56 consid. 5c, DTF 103 IV 284 consid. 2b; NIKLAUS SCHMID, op.cit., pag. 187 n. 390). È pacifico che il terzo che ha tratto profitto da queste informazioni è punibile in virtù dell' art. 162 cpv. 2 CP : verosimilmente tale disposto sarebbe applicabile anche agli organi di una persona giuridica (cfr. al BGE 118 Ib 547 S. 560 riguardo SCHUBARTH/ALBRECHT, op.cit., pag. 251 seg. n. 12 con rinvii alla giurisprudenza; cfr. tuttavia NIKLAUS SCHMID, op.cit., pag. 190 n. 398 in fine). Il Tribunale federale, occupandosi di negozi giuridici effettuati da iniziati, ha già accertato che, a certe condizioni, il requisito della doppia punibilità può essere adempiuto poiché tali atti sono punibili nel diritto svizzero giusta l' art. 162 CP ( DTF 109 Ib 47 segg., DTF 113 Ib 71 consid. 4b, 75 consid. 4a, 79 consid. 2b). L'entrata in vigore dell' art. 161 CP non ha avuto per conseguenza che tali atti cessino di esser punibili in conformità dell' art. 162 CP : infatti, come si è visto, gli interessi giuridici protetti dagli art. 161 e 162 CP sono parzialmente diversi, poiché il primo, accanto all'impresa, tutela l'uguaglianza di prospettive tra gli investitori, la lealtà negli affari e la protezione dell'integrità del mercato, mentre il secondo protegge principalmente l'impresa. Del resto non è pensabile che il legislatore, con l'introduzione della novella "insider", abbia voluto diminuire la protezione già accordata all'impresa, tutela che dev'essere pertanto mantenuta nei casi in cui l' art. 161 CP non può essere applicato. Nel caso di specie, non era necessario che il Tribunale federale attirasse l'attenzione della ricorrente sull'eventualità di un'applicazione dell' art. 162 CP , poiché essa poteva facilmente prevedere la pertinenza di tale disposto (cfr. DTF 115 Ia 96 seg. a contrario con vari riferimenti alla dottrina, DTF 114 Ia 99 consid. 2a). b) Se, come le autorità americane sospettano, dipendenti della società Y hanno rivelato a terzi informazioni circa il calcolo degli utili trimestrali destinate a rimanere segrete sino al momento del comunicato ufficiale, ciò potrebbe adempiere la fattispecie dell' art. 162 cpv. 1 CP , e i terzi che, al beneficio di tali informazioni, ne avessero tratto profitto, potrebbero essere punibili in Svizzera in applicazione del cpv. 2. La condizione della punibilità secondo il diritto svizzero non sarebbe per i dipendenti della società Y invece adempita ove costoro, senza rivelare il segreto, si fossero limitati a trarne un profitto personale utilizzando direttamente per proprio conto le informazioni confidenziali che detenevano ( DTF 113 Ib 71 consid. 4b). È chiaro che se nel corso dell'inchiesta dovesse emergere in modo inequivocabile che l'operazione finanziaria incriminata è stata effettuata da detentori del segreto commerciale senza violazione dello stesso, l'assistenza richiesta dovrà essere negata. Per contro, se è verosimilmente stato fatto uso d'informazioni confidenziali da parte di terzi, o se sussistono dubbi al riguardo, l'assistenza dovrebbe essere, di massima, concessa, a condizione BGE 118 Ib 547 S. 561 che sia rispettato il principio della specialità.</w:t>
      </w:r>
    </w:p>
    <w:p>
      <w:r>
        <w:rPr>
          <w:b/>
        </w:rPr>
        <w:t>E. 6</w:t>
      </w:r>
    </w:p>
    <w:p>
      <w:r>
        <w:t>a) La ricorrente fa valere infine che l'UFP, omettendo di menzionare espressamente il principio della specialità, avrebbe violato il diritto federale. Nelle sue osservazioni l'UFP precisa che il riferimento a tale principio non deve apparire nella decisione sull'ammissibilità della richiesta: esso figurerà invece nella lettera con la quale vengono trasmessi gli atti all'autorità richiedente. b) Il principio invocato dalla ricorrente è espressamente riservato all' art. 5 TAGSU : le informazioni ottenute dallo Stato richiesto non possono quindi essere utilizzate dallo Stato richiedente come mezzi di prova in una procedura relativa a un reato che non sia quello per il quale è stata accordata l'assistenza giudiziaria, segnatamente per il perseguimento di reati fiscali. È d'altronde escluso che lo Stato richiedente, senza previamente avere ottenuto l'autorizzazione da quello richiesto, trasmetta a un terzo Stato le informazioni ottenute ( DTF 112 Ib 143 consid. 3b). Ora, il rispetto del principio della specialità da parte di Stati che, come nel caso di specie, sono legati alla Svizzera da un trattato sull'assistenza giudiziaria viene ovviamente presupposto. Si aggiunga che in concreto la ricorrente non fa valere alcuna circostanza che permetta di dubitare della presunzione di buona fede di cui gode tale Stato. La censura è quindi priva di fondamento. Chiaramente, giusta il principio in rassegna (al riguardo DTF 105 Ib 428 in basso), lo Stato richiedente non potrà punire l'uso di informazioni confidenziali, qualora l'iniziato ne abbia tratto profitto utilizzandole unicamente per proprio conto, senza rivelarle a terzi, fattispecie non prevista dall' art. 162 CP ( DTF 113 Ib 71 consid. 4b, DTF 109 Ib 57 consid. 5c): occorre quindi che l'UFP informi espressamente e in modo univoco lo Stato richiedente riguardo a questa riserva. Giova osservare ancora che l'autorità richiesta, prima di consegnare allo Stato estero gli atti d'esecuzione, deve comunque esaminare previamente eventuali interessi di terzi al segreto giusta gli art. 10 cpv. 2 TAGSU , 13 cpv. 3 lett. a e 28 LTAGSU ( DTF 115 Ib 192 consid. 4), ciò che corrisponde anche al principio della proporzionalità. L'UFP dovrà quindi provvedere a che vengano trasmessi unicamente documenti e prove che siano connessi con la determinazione degli elementi costitutivi del reato in rassegna. La domanda litigiosa può dunque essere accolta - con la riserva appena citata -, sempre che la documentazione sequestrata si riferisca effettivamente a notizie utili per le indagini e che vengano espunti rispettivamente eliminati tutti gli elementi che sono BGE 118 Ib 547 S. 562 manifestamente estranei all'operazione criminosa oggetto della domanda; con queste riserve non vi è motivo di limitare l'assistenza - come postulato dalla ricorrente - agli atti stesi prima del 1o ottobre 1991, se questi dovessero rivestire una certa rilevanza per il perseguimento dei reati di cui si tratta. Inoltre, l'UFP dovrà procedere direttamente alla cernita dei documenti da comunicare allo Stato richiedente ( DTF 115 Ib 194 ). c) Giova osservare infine che la presenza di legali o funzionari esteri all'audizione di testi va intesa come presenza passiva e che l'interrogatorio dovrà essere svolto dal magistrato svizzero, il quale dovrà anche evitare che i funzionari stranieri prendano conoscenza di documenti che nulla hanno a che fare con il reato di cui all' art. 162 CP . Detto magistrato dovrà vegliare inoltre affinché non venga vanificato il diritto di decidere, alla chiusura del procedimento, se e quali informazioni dovranno per finire esser trasmesse allo Stato richiedente ( art. 82 AIMP , art. 2 OAIMP ): in particolare, ove dovesse sorgere il dubbio che, relativamente a determinati documenti o domande, esse debbano esser escluse dalla trasmissione, il magistrato elvetico dovrà provvedere a che la presenza di magistrati esteri o degli avvocati della SEC venga - momentaneamente - esclusa ( art. 82 e 83 AIMP , art. 26 cpv. 1 e 2 OAIMP ; DTF 113 Ib 169 consid. 7c e rinvii; cfr. anche DTF 117 Ib 52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